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V BEGDV1/2/3ÄndV — Anwendung in Berlin</w:t>
      </w:r>
    </w:p>
    <w:p>
      <w:r>
        <w:rPr>
          <w:color w:val="555555"/>
          <w:sz w:val="18"/>
        </w:rPr>
        <w:t xml:space="preserve">Verordnung zur Änderung der Ersten, Zweiten und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240 BEG auch im Land Berlin.</w:t>
      </w:r>
    </w:p>
    <w:p>
      <w:r>
        <w:rPr>
          <w:color w:val="555555"/>
          <w:sz w:val="17"/>
        </w:rPr>
        <w:t xml:space="preserve">Zitiervorschlag: Art V BEGDV1/2/3ÄndV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https://recht.nulegal.eu/gesetze/begdv1_2_3_ndv/v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