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BBodSchV</w:t>
      </w:r>
    </w:p>
    <w:p>
      <w:r>
        <w:rPr>
          <w:color w:val="555555"/>
          <w:sz w:val="18"/>
        </w:rPr>
        <w:t xml:space="preserve">Bundes-Bodenschutz- und Altlastenverordnung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Auf Grund der §§ 6, 8 Abs. 1 und 2 und des § 13 Abs. 1 Satz 2 des Bundes-Bodenschutzgesetzes vom 17. März 1998 (BGBl. I S. 502) verordnet die Bundesregierung nach Anhörung der beteiligten Kreise:</w:t>
      </w:r>
    </w:p>
    <w:p>
      <w:r>
        <w:rPr>
          <w:color w:val="555555"/>
          <w:sz w:val="17"/>
        </w:rPr>
        <w:t xml:space="preserve">Zitiervorschlag: Eingangsformel BBodSchV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https://recht.nulegal.eu/gesetze/bbodschv--1999/eingangsformel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