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BBodSchV — Besorgnis schädlicher Bodenveränderungen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Das Entstehen schädlicher Bodenveränderungen nach § 7 des Bundes-Bodenschutzgesetzes ist in der Regel zu besorgen, wenn</w:t>
      </w:r>
    </w:p>
    <w:p>
      <w:pPr>
        <w:ind w:left="420"/>
      </w:pPr>
      <w:r>
        <w:t xml:space="preserve">1. Schadstoffgehalte im Boden gemessen werden, die die Vorsorgewerte nach Anhang 2 Nr. 4 überschreiten, oder</w:t>
      </w:r>
    </w:p>
    <w:p>
      <w:pPr>
        <w:ind w:left="420"/>
      </w:pPr>
      <w:r>
        <w:t xml:space="preserve">2. eine erhebliche Anreicherung von anderen Schadstoffen erfolgt, die auf Grund ihrer krebserzeugenden, erbgutverändernden, fortpflanzungsgefährdenden oder toxischen Eigenschaften in besonderem Maße geeignet sind, schädliche Bodenveränderungen herbeizuführen.</w:t>
      </w:r>
    </w:p>
    <w:p>
      <w:r>
        <w:t xml:space="preserve">§ 17 Abs. 1 des Bundes-Bodenschutzgesetzes bleibt unberührt.</w:t>
      </w:r>
    </w:p>
    <w:p>
      <w:r>
        <w:t xml:space="preserve">(2) Bei Böden mit naturbedingt erhöhten Schadstoffgehalten besteht die Besorgnis des Entstehens schädlicher Bodenveränderungen bei einer Überschreitung der Vorsorgewerte nach Anhang 2 Nr. 4 nur, wenn eine erhebliche Freisetzung von Schadstoffen oder zusätzliche Einträge durch die nach § 7 Satz 1 des Bundes-Bodenschutzgesetzes Verpflichteten nachteilige Auswirkungen auf die Bodenfunktionen erwarten lassen.</w:t>
      </w:r>
    </w:p>
    <w:p>
      <w:r>
        <w:t xml:space="preserve">(3) Absatz 2 gilt entsprechend bei Böden mit großflächig siedlungsbedingt erhöhten Schadstoffgehalten.</w:t>
      </w:r>
    </w:p>
    <w:p>
      <w:r>
        <w:rPr>
          <w:color w:val="555555"/>
          <w:sz w:val="17"/>
        </w:rPr>
        <w:t xml:space="preserve">Zitiervorschlag: § 9 BBodSchV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https://recht.nulegal.eu/gesetze/bbodschv--1999/9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