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BBodSchV — Ausnahmen</w:t>
      </w:r>
    </w:p>
    <w:p>
      <w:r>
        <w:rPr>
          <w:color w:val="555555"/>
          <w:sz w:val="18"/>
        </w:rPr>
        <w:t xml:space="preserve">Bundes-Bodenschutz- und Altlastenverordnung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Auf schädliche Bodenveränderungen und Altlasten, bei denen nach Feststellung der zuständigen Behörde Gefahren, erhebliche Nachteile oder erhebliche Belästigungen mit einfachen Mitteln abgewehrt oder sonst beseitigt werden können, findet § 6 keine Anwendung.</w:t>
      </w:r>
    </w:p>
    <w:p>
      <w:r>
        <w:rPr>
          <w:color w:val="555555"/>
          <w:sz w:val="17"/>
        </w:rPr>
        <w:t xml:space="preserve">Zitiervorschlag: § 7 BBodSchV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https://recht.nulegal.eu/gesetze/bbodschv--1999/7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