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BBodSchV — Sanierungsmaßnahmen, Schutz- und Beschränkungsmaßnahmen</w:t>
      </w:r>
    </w:p>
    <w:p>
      <w:r>
        <w:rPr>
          <w:color w:val="555555"/>
          <w:sz w:val="18"/>
        </w:rPr>
        <w:t xml:space="preserve">Bundes-Bodenschutz- und Altlastenverordnung</w:t>
      </w:r>
    </w:p>
    <w:p>
      <w:r>
        <w:rPr>
          <w:color w:val="555555"/>
          <w:sz w:val="18"/>
        </w:rPr>
        <w:t xml:space="preserve">Historische Fassung: Stand 10.06.2019 bis 01.08.2023. Dies ist nicht die aktuelle Fassung.</w:t>
      </w:r>
    </w:p>
    <w:p>
      <w:r>
        <w:t xml:space="preserve">(1) Dekontaminationsmaßnahmen sind zur Sanierung geeignet, wenn sie auf technisch und wirtschaftlich durchführbaren Verfahren beruhen, die ihre praktische Eignung zur umweltverträglichen Beseitigung oder Verminderung der Schadstoffe gesichert erscheinen lassen. Dabei sind auch die Folgen des Eingriffs insbesondere für Böden und Gewässer zu berücksichtigen. Nach Abschluß einer Dekontaminationsmaßnahme ist das Erreichen des Sanierungsziels gegenüber der zuständigen Behörde zu belegen.</w:t>
      </w:r>
    </w:p>
    <w:p>
      <w:r>
        <w:t xml:space="preserve">(2) Wenn Schadstoffe nach § 4 Abs. 5 des Bundes-Bodenschutzgesetzes zu beseitigen sind und eine Vorbelastung besteht, sind vom Pflichtigen grundsätzlich die Leistungen zu verlangen, die er ohne Vorbelastung zu erbringen hätte. Die zuvor bestehenden Nutzungsmöglichkeiten des Grundstücks sollen wiederhergestellt werden.</w:t>
      </w:r>
    </w:p>
    <w:p>
      <w:r>
        <w:t xml:space="preserve">(3) Sicherungsmaßnahmen sind zur Sanierung geeignet, wenn sie gewährleisten, daß durch die im Boden oder in Altlasten verbleibenden Schadstoffe dauerhaft keine Gefahren, erheblichen Nachteile oder erheblichen Belästigungen für den einzelnen oder die Allgemeinheit entstehen. Hierbei ist das Gefahrenpotential der im Boden verbleibenden Schadstoffe und deren Umwandlungsprodukte zu berücksichtigen. Eine nachträgliche Wiederherstellung der Sicherungswirkung im Sinne des Satzes 1 muß möglich sein. Die Wirksamkeit von Sicherungsmaßnahmen ist gegenüber der zuständigen Behörde zu belegen und dauerhaft zu überwachen.</w:t>
      </w:r>
    </w:p>
    <w:p>
      <w:r>
        <w:t xml:space="preserve">(4) Als Sicherungsmaßnahme kommt auch eine geeignete Abdeckung schädlich veränderter Böden oder Altlasten mit einer Bodenschicht oder eine Versiegelung in Betracht.</w:t>
      </w:r>
    </w:p>
    <w:p>
      <w:r>
        <w:t xml:space="preserve">(5) Auf land- und forstwirtschaftlich genutzten Flächen kommen bei schädlichen Bodenveränderungen oder Altlasten vor allem Schutz- und Beschränkungsmaßnahmen durch Anpassungen der Nutzung und der Bewirtschaftung von Böden sowie Veränderungen der Bodenbeschaffenheit in Betracht. Über die getroffenen Schutz- und Beschränkungsmaßnahmen sind Aufzeichnungen zu führen. Mit der zuständigen landwirtschaftlichen Fachbehörde ist Einvernehmen herbeizuführen. § 17 Abs. 3 des Bundes-Bodenschutzgesetzes bleibt unberührt.</w:t>
      </w:r>
    </w:p>
    <w:p>
      <w:r>
        <w:t xml:space="preserve">(6) Soll abgeschobenes, ausgehobenes oder behandeltes Material im Rahmen der Sanierung im Bereich derselben schädlichen Bodenveränderung oder Altlast oder innerhalb des Gebietes eines für verbindlich erklärten Sanierungsplans wieder auf- oder eingebracht oder umgelagert werden, sind die Anforderungen nach § 4 Abs. 3 des Bundes-Bodenschutzgesetzes zu erfüllen.</w:t>
      </w:r>
    </w:p>
    <w:p>
      <w:r>
        <w:rPr>
          <w:color w:val="555555"/>
          <w:sz w:val="17"/>
        </w:rPr>
        <w:t xml:space="preserve">Zitiervorschlag: § 5 BBodSchV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https://recht.nulegal.eu/gesetze/bbodschv--1999/5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