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BBodSchV — Bewertung</w:t>
      </w:r>
    </w:p>
    <w:p>
      <w:r>
        <w:rPr>
          <w:color w:val="555555"/>
          <w:sz w:val="18"/>
        </w:rPr>
        <w:t xml:space="preserve">Bundes-Bodenschutz- und Altlastenverordnung</w:t>
      </w:r>
    </w:p>
    <w:p>
      <w:r>
        <w:rPr>
          <w:color w:val="555555"/>
          <w:sz w:val="18"/>
        </w:rPr>
        <w:t xml:space="preserve">Historische Fassung: Stand 10.06.2019 bis 01.08.2023. Dies ist nicht die aktuelle Fassung.</w:t>
      </w:r>
    </w:p>
    <w:p>
      <w:r>
        <w:t xml:space="preserve">(1) Die Ergebnisse der orientierenden Untersuchungen sind nach dieser Verordnung unter Beachtung der Gegebenheiten des Einzelfalls insbesondere auch anhand von Prüfwerten zu bewerten.</w:t>
      </w:r>
    </w:p>
    <w:p>
      <w:r>
        <w:t xml:space="preserve">(2) Liegen der Gehalt oder die Konzentration eines Schadstoffes unterhalb des jeweiligen Prüfwertes in Anhang 2, ist insoweit der Verdacht einer schädlichen Bodenveränderung oder Altlast ausgeräumt. Wird ein Prüfwert nach Anhang 2 Nr. 3 am Ort der Probennahmen überschritten, ist im Einzelfall zu ermitteln, ob die Schadstoffkonzentration im Sickerwasser am Ort der Beurteilung den Prüfwert übersteigt. Maßnahmen im Sinne des § 2 Abs. 7 oder 8 des Bundes-Bodenschutzgesetzes können bereits dann erforderlich sein, wenn im Einzelfall alle bei der Ableitung eines Prüfwertes nach Anhang 2 angenommenen ungünstigen Umstände zusammentreffen und der Gehalt oder die Konzentration eines Schadstoffes geringfügig oberhalb des jeweiligen Prüfwertes in Anhang 2 liegt.</w:t>
      </w:r>
    </w:p>
    <w:p>
      <w:r>
        <w:t xml:space="preserve">(3) Zur Bewertung der von Verdachtsflächen oder altlastverdächtigen Flächen ausgehenden Gefahren für das Grundwasser ist eine Sickerwasserprognose zu erstellen. Wird eine Sickerwasserprognose auf Untersuchungen nach Anhang 1 Nr. 3.3 gestützt, ist im Einzelfall insbesondere abzuschätzen und zu bewerten, inwieweit zu erwarten ist, daß die Schadstoffkonzentration im Sickerwasser den Prüfwert am Ort der Beurteilung überschreitet. Ort der Beurteilung ist der Bereich des Übergangs von der ungesättigten in die gesättigte Zone.</w:t>
      </w:r>
    </w:p>
    <w:p>
      <w:r>
        <w:t xml:space="preserve">(4) Die Ergebnisse der Detailuntersuchung sind nach dieser Verordnung unter Beachtung der Gegebenheiten des Einzelfalls, insbesondere auch anhand von Maßnahmenwerten, daraufhin zu bewerten, inwieweit Maßnahmen nach § 2 Abs. 7 oder 8 des Bundes-Bodenschutzgesetzes erforderlich sind.</w:t>
      </w:r>
    </w:p>
    <w:p>
      <w:r>
        <w:t xml:space="preserve">(5) Soweit in dieser Verordnung für einen Schadstoff kein Prüf- oder Maßnahmenwert festgesetzt ist, sind für die Bewertung die zur Ableitung der entsprechenden Werte in Anhang 2 herangezogenen Methoden und Maßstäbe zu beachten. Diese sind im Bundesanzeiger Nr. 161a vom 28. August 1999 veröffentlicht.</w:t>
      </w:r>
    </w:p>
    <w:p>
      <w:r>
        <w:t xml:space="preserve">(6) Liegt innerhalb einer Verdachtsfläche oder altlastverdächtigen Fläche auf Teilflächen eine von der vorherrschenden Nutzung abweichende empfindlichere Nutzung vor, sind diese Teilflächen nach den für ihre Nutzung jeweils festgesetzten Maßstäben zu bewerten.</w:t>
      </w:r>
    </w:p>
    <w:p>
      <w:r>
        <w:t xml:space="preserve">(7) Liegen im Einzelfall Erkenntnisse aus Grundwasseruntersuchungen vor, sind diese bei der Bewertung im Hinblick auf Schadstoffeinträge in das Grundwasser zu berücksichtigen. Wenn erhöhte Schadstoffkonzentrationen im Sickerwasser oder andere Schadstoffausträge auf Dauer nur geringe Schadstofffrachten und nur lokal begrenzt erhöhte Schadstoffkonzentrationen in Gewässern erwarten lassen, ist dieser Sachverhalt bei der Prüfung der Verhältnismäßigkeit von Untersuchungs- und Sanierungsmaßnahmen zu berücksichtigen. Wasserrechtliche Vorschriften bleiben unberührt.</w:t>
      </w:r>
    </w:p>
    <w:p>
      <w:r>
        <w:t xml:space="preserve">(8) Eine schädliche Bodenveränderung besteht nicht bei Böden mit naturbedingt erhöhten Gehalten an Schadstoffen allein auf Grund dieser Gehalte, soweit diese Stoffe nicht durch Einwirkungen auf den Boden in erheblichem Umfang freigesetzt wurden oder werden. Bei Böden mit großflächig siedlungsbedingt erhöhten Schadstoffgehalten kann ein Vergleich dieser Gehalte mit den im Einzelfall ermittelten Schadstoffgehalten in die Gefahrenbeurteilung einbezogen werden.</w:t>
      </w:r>
    </w:p>
    <w:p>
      <w:r>
        <w:rPr>
          <w:color w:val="555555"/>
          <w:sz w:val="17"/>
        </w:rPr>
        <w:t xml:space="preserve">Zitiervorschlag: § 4 BBodSchV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https://recht.nulegal.eu/gesetze/bbodschv--1999/4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