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BBodSchV — Inkrafttreten</w:t>
      </w:r>
    </w:p>
    <w:p>
      <w:r>
        <w:rPr>
          <w:color w:val="555555"/>
          <w:sz w:val="18"/>
        </w:rPr>
        <w:t xml:space="preserve">Bundes-Bodenschutz- und Altlastenverordnung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14 BBodSchV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https://recht.nulegal.eu/gesetze/bbodschv--1999/14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