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BBodSchV — Zugänglichkeit von technischen Regeln und Normblättern</w:t>
      </w:r>
    </w:p>
    <w:p>
      <w:r>
        <w:rPr>
          <w:color w:val="555555"/>
          <w:sz w:val="18"/>
        </w:rPr>
        <w:t xml:space="preserve">Bundes-Bodenschutz- und Altlastenverordnung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Technische Regeln und Normblätter, auf die in dieser Verordnung verwiesen wird, sind beim Deutschen Patentamt archivmäßig gesichert hinterlegt. Die Bezugsquellen sind in Anhang 1 Nr. 6.2 aufgeführt.</w:t>
      </w:r>
    </w:p>
    <w:p>
      <w:r>
        <w:t xml:space="preserve">(2) Verweisungen auf Entwürfe von technischen Normen in den Anhängen beziehen sich jeweils auf die Fassung, die zu dem in der Verweisung angegebenen Zeitpunkt veröffentlicht ist.</w:t>
      </w:r>
    </w:p>
    <w:p>
      <w:r>
        <w:rPr>
          <w:color w:val="555555"/>
          <w:sz w:val="17"/>
        </w:rPr>
        <w:t xml:space="preserve">Zitiervorschlag: § 13 BBodSchV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https://recht.nulegal.eu/gesetze/bbodschv--1999/13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