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BBodSchV — Zulässige Zusatzbelastung</w:t>
      </w:r>
    </w:p>
    <w:p>
      <w:r>
        <w:rPr>
          <w:color w:val="555555"/>
          <w:sz w:val="18"/>
        </w:rPr>
        <w:t xml:space="preserve">Bundes-Bodenschutz- und Altlastenverordnung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(1) Werden die in Anhang 2 Nr. 4.1 festgesetzten Vorsorgewerte bei einem Schadstoff überschritten, ist insoweit eine Zusatzbelastung bis zur Höhe der in Anhang 2 Nr. 5 festgesetzten jährlichen Frachten des Schadstoffes zulässig. Dabei sind die Einwirkungen auf den Boden über Luft und Gewässer sowie durch unmittelbare Einträge zu beachten.</w:t>
      </w:r>
    </w:p>
    <w:p>
      <w:r>
        <w:t xml:space="preserve">(2) Soweit die in Anhang 2 Nr. 5 festgesetzte zulässige Zusatzbelastung bei einem Schadstoff überschritten ist, sind die geogenen oder großflächig siedlungsbedingten Vorbelastungen im Einzelfall zu berücksichtigen.</w:t>
      </w:r>
    </w:p>
    <w:p>
      <w:r>
        <w:t xml:space="preserve">(3) Die in Anhang 2 Nr. 5 festgesetzten Frachten bestimmen nicht im Sinne des § 3 Abs. 3 Satz 2 des Bundes-Bodenschutzgesetzes, welche Zusatzbelastungen durch den Betrieb einer Anlage nicht als ursächlicher Beitrag zum Entstehen schädlicher Bodenveränderungen anzusehen sind.</w:t>
      </w:r>
    </w:p>
    <w:p>
      <w:r>
        <w:rPr>
          <w:color w:val="555555"/>
          <w:sz w:val="17"/>
        </w:rPr>
        <w:t xml:space="preserve">Zitiervorschlag: § 11 BBodSchV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https://recht.nulegal.eu/gesetze/bbodschv--1999/11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