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BBodSchV — Vorsorgeanforderungen</w:t>
      </w:r>
    </w:p>
    <w:p>
      <w:r>
        <w:rPr>
          <w:color w:val="555555"/>
          <w:sz w:val="18"/>
        </w:rPr>
        <w:t xml:space="preserve">Bundes-Bodenschutz- und Altlastenverordnung</w:t>
      </w:r>
    </w:p>
    <w:p>
      <w:r>
        <w:rPr>
          <w:color w:val="555555"/>
          <w:sz w:val="18"/>
        </w:rPr>
        <w:t xml:space="preserve">Historische Fassung: Stand 10.06.2019 bis 01.08.2023. Dies ist nicht die aktuelle Fassung.</w:t>
      </w:r>
    </w:p>
    <w:p>
      <w:r>
        <w:t xml:space="preserve">(1) Sind die Voraussetzungen des § 9 Abs. 1 Satz 1 Nr. 1, Abs. 2 oder 3 gegeben, hat der nach § 7 des Bundes-Bodenschutzgesetzes Verpflichtete Vorkehrungen zu treffen, um weitere durch ihn auf dem Grundstück und dessen Einwirkungsbereich verursachte Schadstoffeinträge zu vermeiden oder wirksam zu vermindern, soweit dies auch im Hinblick auf den Zweck der Nutzung des Grundstücks verhältnismäßig ist. Dazu gehören auch technische Vorkehrungen an Anlagen oder Verfahren sowie Maßnahmen zur Untersuchung und Überwachung von Böden. Für die Untersuchung gilt Anhang 1 entsprechend.</w:t>
      </w:r>
    </w:p>
    <w:p>
      <w:r>
        <w:t xml:space="preserve">(2) Einträge von Schadstoffen im Sinne des § 9 Abs. 1 Satz 1 Nr. 2, für die keine Vorsorgewerte festgesetzt sind, sind nach Maßgabe von Absatz 1 soweit technisch möglich und wirtschaftlich vertretbar zu begrenzen. Dies gilt insbesondere für die Stoffe, die nach der Gefahrstoffverordnung als krebserzeugend, erbgutverändernd oder fortpflanzungsgefährdend eingestuft sind.</w:t>
      </w:r>
    </w:p>
    <w:p>
      <w:r>
        <w:rPr>
          <w:color w:val="555555"/>
          <w:sz w:val="17"/>
        </w:rPr>
        <w:t xml:space="preserve">Zitiervorschlag: § 10 BBodSchV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https://recht.nulegal.eu/gesetze/bbodschv--1999/10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