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BBesG/BesÜV2Bek 2008</w:t>
      </w:r>
    </w:p>
    <w:p>
      <w:r>
        <w:rPr>
          <w:color w:val="555555"/>
          <w:sz w:val="18"/>
        </w:rPr>
        <w:t xml:space="preserve">Bekanntmachung nach § 77 Abs. 2 und 3 des Bundesbesoldungsgesetzes und nach § 2 Abs. 1 und § 3 Abs. 2 der Zweiten Besoldungs-Übergangsverordnung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77 Abs. 5 des Bundesbesoldungsgesetzes in der Fassung der Bekanntmachung vom 6. August 2002 (BGBl. I S. 3020), der durch Artikel 1 Nr. 4 des Gesetzes vom 10. September 2003 (BGBl. I S. 1798) eingefügt worden ist, und auf Grund des § 13 der Zweiten Besoldungs-Übergangsverordnung in der Fassung der Bekanntmachung vom 27. November 1997 (BGBl. I S. 2764) und unter Berücksichtigung des Artikels 12 Nr. 4 des Bundesbesoldungs- und -versorgungsanpassungsgesetzes 2003/2004 vom 10. September 2003 (BGBl. I S. 1798), werden bekannt gemacht:</w:t>
      </w:r>
    </w:p>
    <w:p>
      <w:pPr>
        <w:ind w:left="420"/>
      </w:pPr>
      <w:r>
        <w:t xml:space="preserve">1. als Anlage 1 die sich jeweils zum 1. Januar 2008 bzw. zum 1. Januar 2009 ergebenden Grundgehaltssätze der fortgeltenden Bundesbesoldungsordnung C,</w:t>
      </w:r>
    </w:p>
    <w:p>
      <w:pPr>
        <w:ind w:left="420"/>
      </w:pPr>
      <w:r>
        <w:t xml:space="preserve">2. als Anlage 2 die sich zum 1. Januar 2008 nach der Zweiten Besoldungs-Übergangsverordnung ergebenden Anlagen IV, V und IX des Bundesbesoldungsgesetzes und Grundgehaltssätze der fortgeltenden Bundesbesoldungsordnung C.</w:t>
      </w:r>
    </w:p>
    <w:p>
      <w:r>
        <w:rPr>
          <w:color w:val="555555"/>
          <w:sz w:val="17"/>
        </w:rPr>
        <w:t xml:space="preserve">Zitiervorschlag: Eingangsformel BBesG/BesÜV2Bek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https://recht.nulegal.eu/gesetze/bbesg_bes_v2bek_2008/eingangsformel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