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Luftfahrtstaatsvertrag (Brandenburg) — Anzuwendendes Recht, Amtshandlungen</w:t>
      </w:r>
    </w:p>
    <w:p>
      <w:r>
        <w:rPr>
          <w:color w:val="555555"/>
          <w:sz w:val="18"/>
        </w:rPr>
        <w:t xml:space="preserve">Staatsvertrag zwischen dem Land Berlin und dem Land Brandenburg über die Zusammenarbeit auf dem Gebiet der Luftfahrtverwaltung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Für die gemeinsame Wahrnehmung der im Rahmen des Staatsvertrages festgelegten Aufgaben gilt, soweit im Staatsvertrag oder durch Bundesrecht nichts anderes geregelt ist, das Recht des Landes Brandenburg als Sitzland.</w:t>
      </w:r>
    </w:p>
    <w:p>
      <w:r>
        <w:t xml:space="preserve">(2) Die Rechnungshöfe der vertragschließenden Länder sind berechtigt, die Haushalts- und Wirtschaftsführung der Gemeinsamen Oberen Luftfahrtbehörde Berlin-Brandenburg zu prüfen. Sie sollen Prüfvereinbarungen auf der Grundlage von § 93 der Landeshaushaltsordnungen treffen.</w:t>
      </w:r>
    </w:p>
    <w:p>
      <w:r>
        <w:t xml:space="preserve">(3) Das Personal der Gemeinsamen Oberen Luftfahrtbehörde Berlin-Brandenburg ist berechtigt, bei der Durchführung der im Staatsvertrag festgelegten Aufgaben Amtshandlungen im Land Berlin und im Land Brandenburg vorzunehmen.</w:t>
      </w:r>
    </w:p>
    <w:p>
      <w:r>
        <w:rPr>
          <w:color w:val="555555"/>
          <w:sz w:val="17"/>
        </w:rPr>
        <w:t xml:space="preserve">Zitiervorschlag: Art 5 Luftfahrtstaatsvertrag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https://recht.nulegal.eu/gesetze/bb-vt-luftfahrtstaatsvertrag--2006/5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