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JMStV (Brandenburg) — Übergangsbestimmungen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§§ 12 und 12a sind ein Jahr nach Bekanntgabe der Entscheidung der KJM über die Bestimmung der von Kindern und Jugendlichen üblicherweise genutzten Betriebssysteme nach § 16 Abs. 1 Satz 3 Nr. 6 anzuwenden.</w:t>
      </w:r>
    </w:p>
    <w:p>
      <w:r>
        <w:t xml:space="preserve">(2) Die Frist nach Abs. 1 verlängert sich auf höchstens drei Jahre für Betriebssysteme im laufenden oder abgeschlossenen Produktionszyklus.</w:t>
      </w:r>
    </w:p>
    <w:p>
      <w:r>
        <w:t xml:space="preserve">(3) Für nicht aktualisierbare Betriebssysteme auf Endgeräten, die zum Zeitpunkt des Inkrafttretens dieses Staatsvertrages bereits in Verkehr gebracht wurden, sind die §§ 12 und 12a nicht anwendbar.</w:t>
      </w:r>
    </w:p>
    <w:p>
      <w:r>
        <w:t xml:space="preserve">(4) § 5c Abs. 3 ist erst sechs Monate nach Inkrafttreten dieses Staatsvertrages anzuwenden.</w:t>
      </w:r>
    </w:p>
    <w:p>
      <w:r>
        <w:rPr>
          <w:color w:val="555555"/>
          <w:sz w:val="17"/>
        </w:rPr>
        <w:t xml:space="preserve">Zitiervorschlag: § 25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