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JMStV (Brandenburg) — Revision zum Bundesverwaltungsgericht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einem gerichtlichen Verfahren kann die Revision zum Bundesverwaltungsgericht auch darauf gestützt werden, dass das angefochtene Urteil auf der Verletzung der Bestimmungen dieses Staatsvertrages beruhe.</w:t>
      </w:r>
    </w:p>
    <w:p>
      <w:r>
        <w:t xml:space="preserve">VI. Abschnitt</w:t>
      </w:r>
    </w:p>
    <w:p>
      <w:r>
        <w:t xml:space="preserve">Ahndung von Verstößen der Anbieter mit Ausnahme des öffentlich-rechtlichen Rundfunks</w:t>
      </w:r>
    </w:p>
    <w:p>
      <w:r>
        <w:rPr>
          <w:color w:val="555555"/>
          <w:sz w:val="17"/>
        </w:rPr>
        <w:t xml:space="preserve">Zitiervorschlag: § 22 JMStV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https://recht.nulegal.eu/gesetze/bb-vt-jmstv--2002/22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