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JMStV (Brandenburg) — Verfahren der KJM</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KJM wird von Amts wegen tätig; leitet ihr eine Landesmedienanstalt oder eine oberste Landesjugendbehörde einen Prüffall zu, hat sie ein Prüfverfahren einzuleiten. Sie fasst ihre Beschlüsse mit der Mehrheit ihrer gesetzlichen Mitglieder, bei Stimmengleichheit entscheidet die Stimme des Vorsitzenden. Die Beschlüsse sind zu begründen. In der Begründung sind die wesentlichen tatsächlichen und rechtlichen Gründe mitzuteilen. Die Beschlüsse der KJM sind gegenüber den anderen Organen der zuständigen Landesmedienanstalt bindend. Sie sind deren Entscheidungen zugrunde zu legen.</w:t>
      </w:r>
    </w:p>
    <w:p>
      <w:r>
        <w:t xml:space="preserve">(2) Die KJM soll mit der Prüfstelle für jugendgefährdende Medien und den obersten Landesjugendbehörden zusammenarbeiten und einen regelmäßigen Informationsaustausch pflegen.</w:t>
      </w:r>
    </w:p>
    <w:p>
      <w:r>
        <w:t xml:space="preserve">(3) Die KJM erstattet den Gremien der Landesmedienanstalten, den für den Jugendschutz zuständigen obersten Landesjugendbehörden und der für den Jugendschutz zuständigen obersten Bundesbehörde alle zwei Jahre einen Bericht über die Durchführung der Bestimmungen dieses Staatsvertrages.</w:t>
      </w:r>
    </w:p>
    <w:p>
      <w:r>
        <w:rPr>
          <w:color w:val="555555"/>
          <w:sz w:val="17"/>
        </w:rPr>
        <w:t xml:space="preserve">Zitiervorschlag: § 17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