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JMStV (Brandenburg) — Mitwirkung der Gremien der Landesmedienanstalten</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KJM unterrichtet die Vorsitzenden der Gremien der Landesmedienanstalten fortlaufend über ihre Tätigkeit. Sie bezieht die Gremienvorsitzenden in grundsätzlichen Angelegenheiten, insbesondere bei der Erstellung von Satzungs- und Richtlinienentwürfen, ein.</w:t>
      </w:r>
    </w:p>
    <w:p>
      <w:r>
        <w:t xml:space="preserve">(2) Die nach Landesrecht zuständigen Organe der Landesmedienanstalten erlassen übereinstimmende Satzungen und Richtlinien zur Durchführung dieses Staatsvertrages. Sie stellen hierbei das Benehmen mit den nach § 19 anerkannten Einrichtungen der Freiwilligen Selbstkontrolle, den in der ARD zusammengeschlossenen Landesrundfunkanstalten und dem ZDF her und führen mit diesen und der KJM einen gemeinsamen Erfahrungsaustausch in der Anwendung des Jugendmedienschutzes durch.</w:t>
      </w:r>
    </w:p>
    <w:p>
      <w:r>
        <w:rPr>
          <w:color w:val="555555"/>
          <w:sz w:val="17"/>
        </w:rPr>
        <w:t xml:space="preserve">Zitiervorschlag: § 15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