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JMStV (Brandenburg) — Ergänzende Bestimmungen für Apps mit anerkannten Jugendschutzprogrammen oder geeigneten technischen oder sonstigen Mitteln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Anbieter von Betriebssystemen stellen abweichend von § 12 Abs. 3 Satz 2 Nr. 3 sicher, dass Apps, die über ein anerkanntes Jugendschutzprogramm nach § 11 Abs. 2 oder ein geeignetes technisches oder sonstiges Mittel nach § 5 Abs. 3 Nr. 1 verfügen, unabhängig von der in der Jugendschutzvorrichtung eingestellten Altersangabe zugänglich und nutzbar sind.</w:t>
      </w:r>
    </w:p>
    <w:p>
      <w:r>
        <w:t xml:space="preserve">(2) Anbieter von Apps nach Absatz 1 stellen sicher, dass die in der Jugendschutzvorrichtung eingestellte Altersangabe angemessen berücksichtigt wird.</w:t>
      </w:r>
    </w:p>
    <w:p>
      <w:r>
        <w:t xml:space="preserve">(3) Apps, die ausschließlich Angebote nach § 5 Abs. 6 enthalten, sind unabhängig von der in der Jugendschutzvorrichtung eingestellten Altersangabe zugänglich und nutzbar zu machen.</w:t>
      </w:r>
    </w:p>
    <w:p>
      <w:r>
        <w:rPr>
          <w:color w:val="555555"/>
          <w:sz w:val="17"/>
        </w:rPr>
        <w:t xml:space="preserve">Zitiervorschlag: § 12a JMStV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https://recht.nulegal.eu/gesetze/bb-vt-jmstv--2002/12a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