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JMStV (Brandenburg) — Anforderungen an Jugendschutzprogramme</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Jugendschutzprogramme müssen zur Beurteilung ihrer Eignung einer anerkannten Einrichtung der freiwilligen Selbstkontrolle vorgelegt werden. Sie sind geeignet, wenn sie einen nach Altersstufen differenzierten Zugang zu Telemedien ermöglichen und eine dem Stand der Technik entsprechende Erkennungsleistung aufweisen. Zudem müssen sie benutzerfreundlich ausgestaltet und nutzerautonom verwendbar sein.</w:t>
      </w:r>
    </w:p>
    <w:p>
      <w:r>
        <w:t xml:space="preserve">(2) Zur Beurteilung der Eignung können auch solche Programme vorgelegt werden, die lediglich auf einzelne Altersstufen ausgelegt sind oder den Zugang zu Telemedien innerhalb geschlossener Systeme ermöglichen.</w:t>
      </w:r>
    </w:p>
    <w:p>
      <w:r>
        <w:t xml:space="preserve">(3) Die KJM legt die Kriterien für die Eignungsanforderungen nach den Absätzen 1 und 2 im Benehmen mit den anerkannten Einrichtungen der Freiwilligen Selbstkontrolle fest.</w:t>
      </w:r>
    </w:p>
    <w:p>
      <w:r>
        <w:t xml:space="preserve">(4) Hat eine anerkannte Einrichtung der Freiwilligen Selbstkontrolle ein Jugendschutzprogramm als nach Absatz 1 oder 2 geeignet beurteilt, hat sie die Beurteilung mindestens alle drei Jahre zu überprüfen. Sie hat auf die Behebung von Fehlfunktionen hinzuwirken. Die Beurteilungen nach den Absätzen 1 und 2 und die Ergebnisse ihrer Überprüfung nach Satz 1 sind unverzüglich in geeigneter Form zu veröffentlichen.</w:t>
      </w:r>
    </w:p>
    <w:p>
      <w:r>
        <w:t xml:space="preserve">(5) Wer gewerbsmäßig oder in großem Umfang Telemedien verbreitet oder zugänglich macht, soll auch die für Kinder oder Jugendliche unbedenklichen Angebote für ein geeignetes Jugendschutzprogramm nach den Absätzen 1 und 2 programmieren, soweit dies zumutbar und ohne unverhältnismäßige Kosten möglich ist.</w:t>
      </w:r>
    </w:p>
    <w:p>
      <w:r>
        <w:t xml:space="preserve">(6) Die anerkannten Einrichtungen der Freiwilligen Selbstkontrolle können im Benehmen mit der KJM zur Förderung des technischen Jugendschutzes Modellversuche durchführen und Verfahren vereinbaren. Gleiches gilt für Altersklassifizierungssysteme, die von anerkannten Einrichtungen der Freiwilligen Selbstkontrolle zur Verfügung gestellt werden.</w:t>
      </w:r>
    </w:p>
    <w:p>
      <w:r>
        <w:rPr>
          <w:color w:val="555555"/>
          <w:sz w:val="17"/>
        </w:rPr>
        <w:t xml:space="preserve">Zitiervorschlag: § 11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