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JMStV (Brandenburg) — Zweck des Staatsvertrages</w:t>
      </w:r>
    </w:p>
    <w:p>
      <w:r>
        <w:rPr>
          <w:color w:val="555555"/>
          <w:sz w:val="18"/>
        </w:rPr>
        <w:t xml:space="preserve">Jugendmedienschutz-Staatsvertrag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Zweck des Staatsvertrages ist der einheitliche Schutz der Kinder und Jugendlichen vor Angeboten in elektronischen Informations- und Kommunikationsmedien, die deren Entwicklung oder Erziehung beeinträchtigen oder gefährden oder Risiken für deren persönliche Integrität aufweisen, sowie der Schutz vor solchen Angeboten in elektronischen Informations- und Kommunikationsmedien, die die Menschenwürde oder sonstige durch das Strafgesetzbuch geschützte Rechtsgüter verletzen.</w:t>
      </w:r>
    </w:p>
    <w:p>
      <w:r>
        <w:rPr>
          <w:color w:val="555555"/>
          <w:sz w:val="17"/>
        </w:rPr>
        <w:t xml:space="preserve">Zitiervorschlag: § 1 JMStV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https://recht.nulegal.eu/gesetze/bb-vt-jmstv--2002/1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