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GKL-StV (Brandenburg) — Staatsaufsicht</w:t>
      </w:r>
    </w:p>
    <w:p>
      <w:r>
        <w:rPr>
          <w:color w:val="555555"/>
          <w:sz w:val="18"/>
        </w:rPr>
        <w:t xml:space="preserve">Staatsvertrag über die Gründung der GKL Gemeinsame Klassenlotterie der Länder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Anstalt unterliegt der Staatsaufsicht. Die Staatsaufsicht ist Rechtsaufsicht. Sie wird im Benehmen mit den anderen Vertragsländern von der Finanzbehörde der Freien und Hansestadt Hamburg ausgeübt.</w:t>
      </w:r>
    </w:p>
    <w:p>
      <w:r>
        <w:rPr>
          <w:color w:val="555555"/>
          <w:sz w:val="17"/>
        </w:rPr>
        <w:t xml:space="preserve">Zitiervorschlag: § 7 GKL-StV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https://recht.nulegal.eu/gesetze/bb-vt-gkl_stv_2012--2012/7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