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GKL-StV (Brandenburg) — Glücksspielaufsicht</w:t>
      </w:r>
    </w:p>
    <w:p>
      <w:r>
        <w:rPr>
          <w:color w:val="555555"/>
          <w:sz w:val="18"/>
        </w:rPr>
        <w:t xml:space="preserve">Staatsvertrag über die Gründung der GKL Gemeinsame Klassenlotterie der Länder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Anstalt unterliegt der Glücksspielaufsicht der zuständigen Behörde der Freien und Hansestadt Hamburg, sofern dies glücksspielrechtlich zulässig ist.</w:t>
      </w:r>
    </w:p>
    <w:p>
      <w:r>
        <w:t xml:space="preserve">(2) Die Veranstaltungen der Anstalt bedürfen jeweils der Erlaubnis der Glücksspielaufsicht nach Absatz 1, soweit dies gesetzlich erforderlich ist. Soweit glücksspielrechtliche Regelungen nicht entgegenstehen, gilt die Erlaubnis für das Gebiet aller Vertragsländer.</w:t>
      </w:r>
    </w:p>
    <w:p>
      <w:r>
        <w:rPr>
          <w:color w:val="555555"/>
          <w:sz w:val="17"/>
        </w:rPr>
        <w:t xml:space="preserve">Zitiervorschlag: § 6 GKL-StV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https://recht.nulegal.eu/gesetze/bb-vt-gkl_stv_2012--2012/6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