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GKL-StV (Brandenburg) — Grundkapital</w:t>
      </w:r>
    </w:p>
    <w:p>
      <w:r>
        <w:rPr>
          <w:color w:val="555555"/>
          <w:sz w:val="18"/>
        </w:rPr>
        <w:t xml:space="preserve">Staatsvertrag über die Gründung der GKL Gemeinsame Klassenlotterie der Länder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Anstalt wird mit einem Grundkapital von 2 Millionen Euro ausgestattet. Die Vertragsländer leisten die Einlagen auf das Grundkapital durch Sacheinlage des Vermögens der Altanstalten gemäß § 12 Absatz 1.</w:t>
      </w:r>
    </w:p>
    <w:p>
      <w:r>
        <w:rPr>
          <w:color w:val="555555"/>
          <w:sz w:val="17"/>
        </w:rPr>
        <w:t xml:space="preserve">Zitiervorschlag: § 14 GKL-StV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https://recht.nulegal.eu/gesetze/bb-vt-gkl_stv_2012--2012/14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GKL-StV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