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GKL-StV (Brandenburg) — Satzung</w:t>
      </w:r>
    </w:p>
    <w:p>
      <w:r>
        <w:rPr>
          <w:color w:val="555555"/>
          <w:sz w:val="18"/>
        </w:rPr>
        <w:t xml:space="preserve">Staatsvertrag über die Gründung der GKL Gemeinsame Klassenlotterie der Länder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Im Übrigen werden die Aufgaben und Geschäfte der Anstalt, ihre Vertretung, die Rechtsverhältnisse der Anstalt und ihrer Organe sowie die Grundlagen der Buchführung, Rechnungslegung und Prüfung durch Satzung geregelt.</w:t>
      </w:r>
    </w:p>
    <w:p>
      <w:r>
        <w:t xml:space="preserve">(2) Die Satzung und jede Änderung ist in den Amtsblättern der Vertragsländer bekannt zu machen.</w:t>
      </w:r>
    </w:p>
    <w:p>
      <w:r>
        <w:rPr>
          <w:color w:val="555555"/>
          <w:sz w:val="17"/>
        </w:rPr>
        <w:t xml:space="preserve">Zitiervorschlag: § 11 GKL-StV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https://recht.nulegal.eu/gesetze/bb-vt-gkl_stv_2012--2012/11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