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UKV (Brandenburg)</w:t>
      </w:r>
    </w:p>
    <w:p>
      <w:r>
        <w:rPr>
          <w:color w:val="555555"/>
          <w:sz w:val="18"/>
        </w:rPr>
        <w:t xml:space="preserve">Unterbringungskrankenhausverordnung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Träger der im anliegenden Unterbringungsplan benannten Krankenhäuser sind für die Aufnahme der öffentlich-rechtlich unterzubringenden psychisch kranken Menschen nach den Vorschriften des Brandenburgischen Psychisch-Kranken-Gesetzes sachlich zuständig und werden hierfür mit hoheitlicher Gewalt beliehen.</w:t>
      </w:r>
    </w:p>
    <w:p>
      <w:r>
        <w:t xml:space="preserve">(2) Sie sind örtlich zuständig für die ihnen im Unterbringungsplan jeweils als Aufnahmegebiet zugeordneten Landkreise, kreisfreien Städte, Ämter oder amtsfreien Gemeinden.</w:t>
      </w:r>
    </w:p>
    <w:p>
      <w:r>
        <w:rPr>
          <w:color w:val="555555"/>
          <w:sz w:val="17"/>
        </w:rPr>
        <w:t xml:space="preserve">Zitiervorschlag: § 1 UKV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https://recht.nulegal.eu/gesetze/bb-vo-ukv--2010/1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