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LSV (Brandenburg) — Zugang zum Masterstudium</w:t>
      </w:r>
    </w:p>
    <w:p>
      <w:r>
        <w:rPr>
          <w:color w:val="555555"/>
          <w:sz w:val="18"/>
        </w:rPr>
        <w:t xml:space="preserve">Lehramtsstudienverordnung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Der Zugang zu einem Masterstudium setzt den Nachweis über den Abschluss „Bachelor of Education“ gemäß § 2 Absatz 1 Satz 1 oder einen gleichwertigen Abschluss voraus. Spätestens zu Beginn des Masterstudiums sind von den Studierenden</w:t>
      </w:r>
    </w:p>
    <w:p>
      <w:r>
        <w:t xml:space="preserve">ein Nachweis über die Teilnahme an Maßnahmen der Hochschule zur Feststellung der individuellen Voraussetzungen für die Tätigkeit als Lehrkraft sowie</w:t>
      </w:r>
    </w:p>
    <w:p>
      <w:r>
        <w:t xml:space="preserve">ein phoniatrisches Gutachten</w:t>
      </w:r>
    </w:p>
    <w:p>
      <w:r>
        <w:t xml:space="preserve">zu erbringen. Näheres regelt die Hochschule durch Satzung.</w:t>
      </w:r>
    </w:p>
    <w:p>
      <w:r>
        <w:t xml:space="preserve">(2) Bei einem nicht gleichwertigen lehramtsbezogenen Bachelorabschluss können weitere an einer Universität oder Hochschule erworbene Studien- und Prüfungsleistungen, die vor Beginn des Masterstudiums erworben und bei der Entscheidung über den Zugang nachgewiesen werden, zum Ausgleich der fehlenden Gleichwertigkeit berücksichtigt werden. Absatz 1 Satz 3 gilt entsprechend.</w:t>
      </w:r>
    </w:p>
    <w:p>
      <w:r>
        <w:t xml:space="preserve">(3) Der Zugang zu einem Dualen Masterstudiengang ist zugleich die Voraussetzung für die Zulassung zu einem studienbegleitenden Vorbereitungsdienst.</w:t>
      </w:r>
    </w:p>
    <w:p>
      <w:r>
        <w:rPr>
          <w:color w:val="555555"/>
          <w:sz w:val="17"/>
        </w:rPr>
        <w:t xml:space="preserve">Zitiervorschlag: § 4 LSV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https://recht.nulegal.eu/gesetze/bb-vo-lsv--2013/4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