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LSV (Brandenburg) — Leistungspunkte, Masterarbeit</w:t>
      </w:r>
    </w:p>
    <w:p>
      <w:r>
        <w:rPr>
          <w:color w:val="555555"/>
          <w:sz w:val="18"/>
        </w:rPr>
        <w:t xml:space="preserve">Lehramtsstudienverordnung</w:t>
      </w:r>
    </w:p>
    <w:p>
      <w:r>
        <w:rPr>
          <w:color w:val="555555"/>
          <w:sz w:val="18"/>
        </w:rPr>
        <w:t xml:space="preserve">Landesrecht Brandenburg</w:t>
      </w:r>
    </w:p>
    <w:p>
      <w:r>
        <w:rPr>
          <w:color w:val="555555"/>
          <w:sz w:val="18"/>
        </w:rPr>
        <w:t xml:space="preserve">Stand: 23.08.2026 (konsolidierte Textfassung, kein amtliches Inkrafttretensdatum)</w:t>
      </w:r>
    </w:p>
    <w:p>
      <w:r>
        <w:t xml:space="preserve">(1) In den vorgesehenen Studienbereichen sind mindestens die jeweils in den Anlagen 3 und 3a ausgewiesenen Leistungspunkte nachzuweisen. Die variablen Leistungspunkte gemäß Anlage 3 Nummer 5 und Anlage 3a Nummer 4 sind durch die Hochschule den vorgesehenen Studienbereichen oder anderen Studienangeboten zuzuordnen. Dabei hat die Hochschule zu gewährleisten, dass der Umfang der Studien- und Prüfungsleistungen</w:t>
      </w:r>
    </w:p>
    <w:p>
      <w:r>
        <w:t xml:space="preserve">in den fachdidaktischen, bildungswissenschaftlichen und schulpraktischen Studien zusammen mindestens ein Drittel des Gesamtstudienumfangs und</w:t>
      </w:r>
    </w:p>
    <w:p>
      <w:r>
        <w:t xml:space="preserve">für die inklusionspädagogischen und -didaktischen Grundlagen mindestens ein Zehntel der für die Bildungswissenschaften vorgesehenen Studien- und Prüfungsleistungen</w:t>
      </w:r>
    </w:p>
    <w:p>
      <w:r>
        <w:t xml:space="preserve">beträgt. Soweit variable Leistungspunkte den Fächern zugeordnet werden, sind diese grundsätzlich in gleichem Maße zu berücksichtigen.</w:t>
      </w:r>
    </w:p>
    <w:p>
      <w:r>
        <w:t xml:space="preserve">(2) Bei einer Schwerpunktbildung auf die Sekundarstufe II (allgemeinbildende Fächer) sind für vertiefende Studien in jedem Fach grundsätzlich jeweils mindestens 20 Prozent der zur Verfügung stehenden variablen Leistungspunkte gemäß Anlage 3 Nummer 5 zu verwenden.</w:t>
      </w:r>
    </w:p>
    <w:p>
      <w:r>
        <w:t xml:space="preserve">(3) Die Masterarbeit ist in den Bildungswissenschaften oder in der Fachdidaktik oder Fachwissenschaft eines der studierten Fächer anzufertigen. Wird die Masterarbeit in einer Fachdidaktik angefertigt, so kann das Thema mit fachwissenschaftlichen Bezügen gestellt werden. Wird die Masterarbeit in einer Fachwissenschaft angefertigt, so ist das Thema mit Bezügen zu mindestens einem der anderen Bereiche gemäß Satz 1 zu stellen.</w:t>
      </w:r>
    </w:p>
    <w:p>
      <w:r>
        <w:rPr>
          <w:color w:val="555555"/>
          <w:sz w:val="17"/>
        </w:rPr>
        <w:t xml:space="preserve">Zitiervorschlag: § 13 LSV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https://recht.nulegal.eu/gesetze/bb-vo-lsv--2013/13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