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BOP (Brandenburg) — Unterbau</w:t>
      </w:r>
    </w:p>
    <w:p>
      <w:r>
        <w:rPr>
          <w:color w:val="555555"/>
          <w:sz w:val="18"/>
        </w:rPr>
        <w:t xml:space="preserve">Bau- und Betriebsordnung für Pioniereisenbahnen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Unterbau muß die vom Oberbau zu übertragenden Verkehrslasten aufnehmen und ausreichend entwässert sein.</w:t>
      </w:r>
    </w:p>
    <w:p>
      <w:r>
        <w:t xml:space="preserve">(2) Das Unterbauplanum neuer oder erweiterter Bahnen muß so breit sein, daß die Randwegbreite mindestens 250 mm beträgt.</w:t>
      </w:r>
    </w:p>
    <w:p>
      <w:r>
        <w:rPr>
          <w:color w:val="555555"/>
          <w:sz w:val="17"/>
        </w:rPr>
        <w:t xml:space="preserve">Zitiervorschlag: § 9 BOP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https://recht.nulegal.eu/gesetze/bb-vo-id212063--1979/9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BOP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