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AV-WPflG/KDVNG (Brandenburg)</w:t>
      </w:r>
    </w:p>
    <w:p>
      <w:r>
        <w:rPr>
          <w:color w:val="555555"/>
          <w:sz w:val="18"/>
        </w:rPr>
        <w:t xml:space="preserve">Verordnung zur Ausführung des Wehrpflichtgesetzes und des Kriegsdienstverweigerungs-Neuordnungsgesetzes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Zuständigkeit zur Verfolgung und Ahndung von Ordnungswidrigkeiten nach § 45 Abs. 1 Nr. 4 des Wehrpflichtgesetzes wird den Erfassungsbehörden</w:t>
      </w:r>
    </w:p>
    <w:p>
      <w:r>
        <w:t xml:space="preserve">übertragen.</w:t>
      </w:r>
    </w:p>
    <w:p>
      <w:r>
        <w:rPr>
          <w:color w:val="555555"/>
          <w:sz w:val="17"/>
        </w:rPr>
        <w:t xml:space="preserve">Zitiervorschlag: § 3 AV-WPflG/KDVNG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https://recht.nulegal.eu/gesetze/bb-vo-id211457/3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