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AV-WPflG/KDVNG (Brandenburg)</w:t>
      </w:r>
    </w:p>
    <w:p>
      <w:r>
        <w:rPr>
          <w:color w:val="555555"/>
          <w:sz w:val="18"/>
        </w:rPr>
        <w:t xml:space="preserve">Verordnung zur Ausführung des Wehrpflichtgesetzes und des Kriegsdienstverweigerungs-Neuordnungsgesetzes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ehrenamtlichen Beisitzer in den Musterungsausschüssen und der Musterungskammer sowie die ehrenamtlichen Beisitzer in den Ausschüssen</w:t>
      </w:r>
    </w:p>
    <w:p>
      <w:r>
        <w:t xml:space="preserve">und der Kammer für Kriegsdienstverweigerung werden von den Vertretungen der kreisfreien Städte und Landkreise, für deren Gebiete die Ausschüsse und die Kammer zuständig sind, gewählt (§</w:t>
      </w:r>
    </w:p>
    <w:p>
      <w:r>
        <w:t xml:space="preserve">18 Abs. 3, § 33 Abs. 6 Satz 1 des Wehrpflichtgesetzes, und Artikel 1, § 9 Abs. 3, § 18 Abs. 1 Satz 2 Halbsatz 2 des Kriegsdienstverweigerungs-Neuordnungsgesetzes).</w:t>
      </w:r>
    </w:p>
    <w:p>
      <w:r>
        <w:rPr>
          <w:color w:val="555555"/>
          <w:sz w:val="17"/>
        </w:rPr>
        <w:t xml:space="preserve">Zitiervorschlag: § 2 AV-WPflG/KDVNG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https://recht.nulegal.eu/gesetze/bb-vo-id211457/2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