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HZV (Brandenburg) — Geltungsbereich</w:t>
      </w:r>
    </w:p>
    <w:p>
      <w:r>
        <w:rPr>
          <w:color w:val="555555"/>
          <w:sz w:val="18"/>
        </w:rPr>
        <w:t xml:space="preserve">Hochschulzulassungsverordnung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Diese Verordnung regelt die Vergabe von Studienplätzen in zulassungsbeschränkten Studiengängen an Universitäten und Fachhochschulen, soweit nicht die Vergabe im Zentralen Vergabeverfahren erfolgt.</w:t>
      </w:r>
    </w:p>
    <w:p>
      <w:r>
        <w:t xml:space="preserve">(2) Bei der Vergabe von Studienplätzen nach dieser Verordnung nehmen die Hochschulen die Stiftung für Hochschulzulassung (Stiftung) nach Artikel 4 des Staatsvertrags über die Hochschulzulassung vom 4. April 2019 (GVBl. I Nr. 25) gegen Erstattung der entstehenden Kosten in Anspruch. Die für die Hochschulen zuständige oberste Landesbehörde kann in begründeten Fällen Ausnahmen zulassen.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HZV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https://recht.nulegal.eu/gesetze/bb-vo-hzv--2016/1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