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EigV (Brandenburg) — Beschlüsse der Gemeindevertretung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Gemeindevertretung entscheidet unbeschadet des § 28 Absatz 2 der Kommunalverfassung des Landes Brandenburg über</w:t>
      </w:r>
    </w:p>
    <w:p>
      <w:r>
        <w:t xml:space="preserve">die wesentliche Aus- und Umgestaltung des Eigenbetriebes,</w:t>
      </w:r>
    </w:p>
    <w:p>
      <w:r>
        <w:t xml:space="preserve">die allgemeinen Lieferbedingungen, insbesondere die allgemeinen Tarife,</w:t>
      </w:r>
    </w:p>
    <w:p>
      <w:r>
        <w:t xml:space="preserve">den aufgestellten Wirtschaftsplan und die Änderung des Wirtschaftsplanes,</w:t>
      </w:r>
    </w:p>
    <w:p>
      <w:r>
        <w:t xml:space="preserve">die Feststellung des geprüften Jahresabschlusses und die Ergebnisverwendung,</w:t>
      </w:r>
    </w:p>
    <w:p>
      <w:r>
        <w:t xml:space="preserve">die Entlastung der Werkleitung,</w:t>
      </w:r>
    </w:p>
    <w:p>
      <w:r>
        <w:t xml:space="preserve">die Entnahme von Eigenkapital aus dem Eigenbetrieb.</w:t>
      </w:r>
    </w:p>
    <w:p>
      <w:r>
        <w:rPr>
          <w:color w:val="555555"/>
          <w:sz w:val="17"/>
        </w:rPr>
        <w:t xml:space="preserve">Zitiervorschlag: § 7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