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EigV (Brandenburg) — Prüfungsergebnis</w:t>
      </w:r>
    </w:p>
    <w:p>
      <w:r>
        <w:rPr>
          <w:color w:val="555555"/>
          <w:sz w:val="18"/>
        </w:rPr>
        <w:t xml:space="preserve">Eigenbetriebsverordnung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Abschlussprüfer hat über das Ergebnis der Prüfung schriftlich oder unter Verwendung des elektronischen Schriftformersatzes zu berichten. § 321 Absatz 1 und 2 des Handelsgesetzbuches gilt entsprechend. Im Prüfungsbericht sind insbesondere darzustellen</w:t>
      </w:r>
    </w:p>
    <w:p>
      <w:r>
        <w:t xml:space="preserve">die wirtschaftlichen Verhältnisse und die Ordnungsmäßigkeit der Geschäftsführung,</w:t>
      </w:r>
    </w:p>
    <w:p>
      <w:r>
        <w:t xml:space="preserve">die Entwicklung der Vermögens- und Ertragslage sowie die Liquidität und Rentabilität des Eigenbetriebes,</w:t>
      </w:r>
    </w:p>
    <w:p>
      <w:r>
        <w:t xml:space="preserve">verlustbringende Geschäfte und die Ursachen dieser Verluste, wenn diese Geschäfte und die Ursache sich nicht nur unerheblich auf die Vermögens- und Ertragslage ausgewirkt haben und</w:t>
      </w:r>
    </w:p>
    <w:p>
      <w:r>
        <w:t xml:space="preserve">die Ursachen eines in der Gewinn- und Verlustrechnung ausgewiesenen Jahresfehlbetrages.</w:t>
      </w:r>
    </w:p>
    <w:p>
      <w:r>
        <w:t xml:space="preserve">(2) Das Prüfungsergebnis ist in einer Schlussbesprechung zu erörtern, wenn</w:t>
      </w:r>
    </w:p>
    <w:p>
      <w:r>
        <w:t xml:space="preserve">bei der Prüfung Tatsachen festgestellt werden, die</w:t>
      </w:r>
    </w:p>
    <w:p>
      <w:r>
        <w:t xml:space="preserve">die Entwicklung des Eigenbetriebes wesentlich beeinträchtigen können oder</w:t>
      </w:r>
    </w:p>
    <w:p>
      <w:r>
        <w:t xml:space="preserve">Verstöße gegen gesetzliche Vorschriften oder gegen die Betriebssatzung erkennen lassen,</w:t>
      </w:r>
    </w:p>
    <w:p>
      <w:r>
        <w:t xml:space="preserve">die wirtschaftlich bedeutsamen Sachverhalte im Sinne des § 53 Absatz 1 Nummer 2 des Haushaltsgrundsätzegesetzes Anlass zu wesentlichen Beanstandungen geben oder</w:t>
      </w:r>
    </w:p>
    <w:p>
      <w:r>
        <w:t xml:space="preserve">die Geschäftsführung Anlass zu wesentlichen Beanstandungen gibt.</w:t>
      </w:r>
    </w:p>
    <w:p>
      <w:r>
        <w:t xml:space="preserve">Dies gilt auch, wenn Fehler im Rahmen der Prüfung behoben wurden. Sofern eine Schlussbesprechung nicht durchzuführen ist, kann sie im Einvernehmen mit der Prüfungsbehörde entfallen.</w:t>
      </w:r>
    </w:p>
    <w:p>
      <w:r>
        <w:t xml:space="preserve">(3) Der Abschlussprüfer hat einen schriftlichen oder mit elektronischem Schriftformersatz versehenen Vermerk über das Ergebnis der Prüfung zu fertigen, soweit sich aus anderen gesetzlichen Vorschriften nichts anderes ergibt. § 322 Absatz 2 bis 4 des Handelsgesetzbuches gilt entsprechend. Die Prüfungsbehörde kann zu dem Vermerk des Abschlussprüfers eigene Feststellungen treffen.</w:t>
      </w:r>
    </w:p>
    <w:p>
      <w:r>
        <w:t xml:space="preserve">(4) Der Abschlussprüfer legt den Prüfungsbericht nach Absatz 1 einschließlich des Prüfungsvermerkes nach Absatz 3 der Prüfungsbehörde in fünffacher Ausfertigung vor. Diese leitet ihn der Gemeinde zu. In den Fällen des § 28 leitet die Prüfungsbehörde den Prüfungsbericht einschließlich Prüfungsvermerk dem Zweckverband zu; die Mitgliedsgemeinden des Zweckverbandes sind davon zu unterrichten, dass der Prüfungsbericht vorliegt.</w:t>
      </w:r>
    </w:p>
    <w:p>
      <w:r>
        <w:rPr>
          <w:color w:val="555555"/>
          <w:sz w:val="17"/>
        </w:rPr>
        <w:t xml:space="preserve">Zitiervorschlag: § 32 EigV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https://recht.nulegal.eu/gesetze/bb-vo-eigv--2009/32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