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EigV (Brandenburg) — Anhang, Anlagennachweis</w:t>
      </w:r>
    </w:p>
    <w:p>
      <w:r>
        <w:rPr>
          <w:color w:val="555555"/>
          <w:sz w:val="18"/>
        </w:rPr>
        <w:t xml:space="preserve">Eigenbetriebsverordnung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die Darstellung im Anhang gilt § 285 Nummer 9 und 10 des Handelsgesetzbuches mit der Maßgabe, dass die Angaben für die Mitglieder der Werkleitung und des Werksausschusses zu machen sind. § 285 Nummer 8 und § 286 Absatz 2 und 3 des Handelsgesetzbuches finden keine Anwendung.</w:t>
      </w:r>
    </w:p>
    <w:p>
      <w:r>
        <w:t xml:space="preserve">(2) In einem Anlagennachweis ist die Entwicklung der einzelnen Posten des Anlagevermögens einschließlich der Finanzanlagen nach den Formblättern 7 und 8 (Anlagen 7 und 8) darzustellen, wenn der Gegenstand des Betriebes keine abweichende Gliederung bedingt. Der Anlagennachweis ist Bestandteil des Anhanges.</w:t>
      </w:r>
    </w:p>
    <w:p>
      <w:r>
        <w:rPr>
          <w:color w:val="555555"/>
          <w:sz w:val="17"/>
        </w:rPr>
        <w:t xml:space="preserve">Zitiervorschlag: § 26 EigV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https://recht.nulegal.eu/gesetze/bb-vo-eigv--2009/26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