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EigV (Brandenburg) — Finanzrechnung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Finanzrechnung sind diejenigen Positionen darzustellen, die den Mittelzufluss und Mittelabfluss aus laufender Geschäftstätigkeit, aus Investitionstätigkeit und aus Finanzierungstätigkeit im abgelaufenen Wirtschaftsjahr berührten.</w:t>
      </w:r>
    </w:p>
    <w:p>
      <w:r>
        <w:t xml:space="preserve">(2) Die Finanzrechnung ist wie der Finanzplan (§ 16) zu gliedern.</w:t>
      </w:r>
    </w:p>
    <w:p>
      <w:r>
        <w:t xml:space="preserve">(3) Wurde für den Eigenbetrieb eine Finanzplanübersicht nach § 16 Absatz 4 erstellt, so ist zum Ende eines jeden Wirtschaftsjahres eine Finanzrechnungsübersicht zu erstellen, die wie die Finanzplanübersicht zu gliedern ist. Die Finanzplanübersicht ist kein Bestandteil des Jahresabschlusses.</w:t>
      </w:r>
    </w:p>
    <w:p>
      <w:r>
        <w:rPr>
          <w:color w:val="555555"/>
          <w:sz w:val="17"/>
        </w:rPr>
        <w:t xml:space="preserve">Zitiervorschlag: § 25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