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EigV (Brandenburg) — Gewinn- und Verlustrechnung, Erfolgsübersicht</w:t>
      </w:r>
    </w:p>
    <w:p>
      <w:r>
        <w:rPr>
          <w:color w:val="555555"/>
          <w:sz w:val="18"/>
        </w:rPr>
        <w:t xml:space="preserve">Eigenbetriebsverordnung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Gewinn- und Verlustrechnung ist nach Formblatt 5 (Anlage 5) aufzustellen. Eine weitere Gliederung ist zulässig. Satz 1 findet keine Anwendung, wenn der Gegenstand des Betriebes eine abweichende Gliederung bedingt. Diese muss der Gliederung gemäß Satz 1 gleichwertig sein.</w:t>
      </w:r>
    </w:p>
    <w:p>
      <w:r>
        <w:t xml:space="preserve">(2) Bei Versorgungsbetrieben muss der Ertrag aus Energielieferungen (Strom, Gas, Wärme) und Wasserlieferungen in jedem Wirtschaftsjahr 365, in Schaltjahren 366 Tage umfassen und auf den Bilanzstichtag abgegrenzt sein.</w:t>
      </w:r>
    </w:p>
    <w:p>
      <w:r>
        <w:t xml:space="preserve">(3) Eigenbetriebe mit mehr als einem Betriebszweig (Sparte) haben zum Ende eines jeden Wirtschaftsjahres eine Erfolgsübersicht aufzustellen. Dabei ist nach ertragsteuerpflichtigen und nicht ertragsteuerpflichtigen Sparten zu trennen; eine Zusammenfassung von mehreren ertragsteuerpflichtigen Sparten ist möglich. Die Erfolgsübersicht ist kein Bestandteil des Jahresabschlusses. Sie ist nach Formblatt 6 (Anlage 6) zu gliedern. Eine weitere Gliederung ist zulässig. Gemeinsame Aufwendungen und Erträge sind sachgerecht auf die Sparten aufzuteilen, soweit Lieferungen und Leistungen nicht gesondert verrechnet werden.</w:t>
      </w:r>
    </w:p>
    <w:p>
      <w:r>
        <w:rPr>
          <w:color w:val="555555"/>
          <w:sz w:val="17"/>
        </w:rPr>
        <w:t xml:space="preserve">Zitiervorschlag: § 24 EigV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https://recht.nulegal.eu/gesetze/bb-vo-eigv--2009/24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