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EigV (Brandenburg) — Bilanz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Bilanz ist nach Formblatt 4 (Anlage 4) aufzustellen. Eine weitere Gliederung ist zulässig. Von der Gliederung kann abgewichen werden, wenn es der Gegenstand des Betriebes bedingt. § 268 Absatz 1 bis 3, § 270 sowie § 272 des Handelsgesetzbuches finden keine Anwendung.</w:t>
      </w:r>
    </w:p>
    <w:p>
      <w:r>
        <w:t xml:space="preserve">(2) Das Stammkapital ist mit seinem in der Betriebssatzung festgelegten Betrag anzusetzen.</w:t>
      </w:r>
    </w:p>
    <w:p>
      <w:r>
        <w:rPr>
          <w:color w:val="555555"/>
          <w:sz w:val="17"/>
        </w:rPr>
        <w:t xml:space="preserve">Zitiervorschlag: § 22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