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EigV (Brandenburg) — Buchführung und Kostenrechnung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Eigenbetrieb führt seine Rechnung nach den Regeln der kaufmännischen doppelten Buchführung und den handelsrechtlichen Grundsätzen. Die Art der Buchungen muss die zwangsläufige Fortschreibung der Vermögens- und Schuldenteile ermöglichen. Die Buchführung muss zusammen mit der Bestandsaufnahme die Aufstellung von Jahresabschlüssen gestatten, die den Anforderungen nach § 21 Absatz 1 entsprechen. Sie muss ferner regelmäßige Zwischenabschlüsse ermöglichen. Eine Anlagenbuchführung muss vorhanden sein.</w:t>
      </w:r>
    </w:p>
    <w:p>
      <w:r>
        <w:t xml:space="preserve">(2) Die Vorschriften des Dritten Buches des Handelsgesetzbuches über Buchführung, Inventar und Aufbewahrung finden Anwendung, soweit sie nicht bereits unmittelbar gelten. § 257 Absatz 3 bis 5 des Handelsgesetzbuches findet nur auf Handelsbriefe Anwendung.</w:t>
      </w:r>
    </w:p>
    <w:p>
      <w:r>
        <w:t xml:space="preserve">(3) Im Rechnungswesen der Versorgungsbetriebe sind mindestens der Aufwand für Erzeugung und Bezug sowie der Aufwand für Speicherung und für Verteilung gesondert zu erfassen.</w:t>
      </w:r>
    </w:p>
    <w:p>
      <w:r>
        <w:t xml:space="preserve">(4) Einheitskontenrahmen sind anzuwenden, soweit sie für Zwecke der Finanzstatistik und der Vergleichbarkeit für verbindlich erklärt sind.</w:t>
      </w:r>
    </w:p>
    <w:p>
      <w:r>
        <w:t xml:space="preserve">(5) Der Eigenbetrieb hat die für Kostenrechnungen erforderlichen Unterlagen zu führen und nach Bedarf Kostenrechnungen zu erstellen.</w:t>
      </w:r>
    </w:p>
    <w:p>
      <w:r>
        <w:rPr>
          <w:color w:val="555555"/>
          <w:sz w:val="17"/>
        </w:rPr>
        <w:t xml:space="preserve">Zitiervorschlag: § 19 EigV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