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EigV (Brandenburg) — Vermögen des Eigenbetriebes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Eigenbetrieb ist als Sondervermögen der Gemeinde gesondert zu verwalten und nachzuweisen. Auf die Erhaltung des Sondervermögens ist hinzuwirken. Dabei sind die Belange der gesamten Gemeindewirtschaft zu berücksichtigen.</w:t>
      </w:r>
    </w:p>
    <w:p>
      <w:r>
        <w:t xml:space="preserve">(2) Der Eigenbetrieb ist mit einem dem Gegenstand und dem Betriebsumfang angemessenen Eigenkapital auszustatten. Sacheinlagen sind angemessen zu bewerten.</w:t>
      </w:r>
    </w:p>
    <w:p>
      <w:r>
        <w:t xml:space="preserve">(3) Bei Eigenbetrieben, die Aufgaben des Bildungs-, Gesundheits- und Sozialwesens, der Kultur, des Sports, der Erholung und ähnlicher Art wahrnehmen, kann abweichend von § 3 Absatz 2 Nummer 2 von der Festsetzung eines Stammkapitals abgesehen werden. Satz 1 gilt entsprechend für Eigenbetriebe, mit denen Aufgaben wahrgenommen werden, zu denen die Gemeinde gesetzlich verpflichtet ist.</w:t>
      </w:r>
    </w:p>
    <w:p>
      <w:r>
        <w:rPr>
          <w:color w:val="555555"/>
          <w:sz w:val="17"/>
        </w:rPr>
        <w:t xml:space="preserve">Zitiervorschlag: § 10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