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EBV (Brandenburg) — Gegenstand der Grundversorgung der Erwachsenenbildung</w:t>
      </w:r>
    </w:p>
    <w:p>
      <w:r>
        <w:rPr>
          <w:color w:val="555555"/>
          <w:sz w:val="18"/>
        </w:rPr>
        <w:t xml:space="preserve">Erwachsenenbildungsverordnung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Grundversorgung der Erwachsenenbildung umfasst ein staatlich gefördertes Angebot der Erwachsenenbildung gemäß § 2 Absatz 3 Satz 1 des Brandenburgischen Erwachsenenbildungsgesetzes, das von den Landkreisen und kreisfreien Städten für ihr Gebiet sichergestellt wird und allen Menschen im Land offen steht.</w:t>
      </w:r>
    </w:p>
    <w:p>
      <w:r>
        <w:t xml:space="preserve">(2) Nicht zur Grundversorgung der Erwachsenenbildung zählen insbesondere Erwachsenenbildungsmaßnahmen, die</w:t>
      </w:r>
    </w:p>
    <w:p>
      <w:r>
        <w:t xml:space="preserve">der Erholung, Unterhaltung oder Geselligkeit dienen,</w:t>
      </w:r>
    </w:p>
    <w:p>
      <w:r>
        <w:t xml:space="preserve">dem Erlernen oder Praktizieren esoterischer, astrologischer oder anderer nicht wissenschaftsbasierter Techniken dienen,</w:t>
      </w:r>
    </w:p>
    <w:p>
      <w:r>
        <w:t xml:space="preserve">gestaltende und künstlerische Praktiken über die Einführung in eine Fertigkeit hinaus vermitteln,</w:t>
      </w:r>
    </w:p>
    <w:p>
      <w:r>
        <w:t xml:space="preserve">dem Erwerb von durch spezielle Rechtsvorschriften geregelten Berechtigungen dienen,</w:t>
      </w:r>
    </w:p>
    <w:p>
      <w:r>
        <w:t xml:space="preserve">der sportlichen Aus- und Weiterbildung, dem Fitnesstraining dienen oder Praxis in Sport und Gesundheitsbildung vermitteln, soweit sie nicht der Einführung dienen,</w:t>
      </w:r>
    </w:p>
    <w:p>
      <w:r>
        <w:t xml:space="preserve">Kenntnisse und Fertigkeiten auf den Gebieten des Feuer- und Katastrophenschutzes, der Ersten Hilfe oder der Pannenhilfe vermitteln,</w:t>
      </w:r>
    </w:p>
    <w:p>
      <w:r>
        <w:t xml:space="preserve">Nachhilfen oder Besuchen von Film-, Konzert- oder Theaterveranstaltungen dienen,</w:t>
      </w:r>
    </w:p>
    <w:p>
      <w:r>
        <w:t xml:space="preserve">partei- oder verbandspolitischen, gottesdienstlichen und seelsorgerischen Charakter haben,</w:t>
      </w:r>
    </w:p>
    <w:p>
      <w:r>
        <w:t xml:space="preserve">im Rahmen von Exkursionen außerhalb des Landkreises oder der kreisfreien Stadt stattfinden, soweit sie nicht der politischen Bildung dienen; die Landkreise und kreisfreien Städte können Ausnahmen zulassen,</w:t>
      </w:r>
    </w:p>
    <w:p>
      <w:r>
        <w:t xml:space="preserve">der berufs- und arbeitsplatzbezogenen Fortbildung, der Anpassungsqualifizierung oder der Umschulung dienen; dies schließt alle betrieblichen und organisationsinternen Schulungen ein,</w:t>
      </w:r>
    </w:p>
    <w:p>
      <w:r>
        <w:t xml:space="preserve">als Integrationskurse oder berufsbezogene Deutschsprachförderung durch das Aufenthaltsgesetz in der Fassung der Bekanntmachung vom 25. Februar 2008 ( BGBl. I S. 162) in der jeweils geltenden Fassung geregelt sind,</w:t>
      </w:r>
    </w:p>
    <w:p>
      <w:r>
        <w:t xml:space="preserve">Veranstaltungen des Zweiten Bildungsweges gemäß den §§ 32 bis 34 des Brandenburgischen Schulgesetzes in der Fassung der Bekanntmachung vom 2. August 2002 (GVBl. I S. 78) in der jeweils geltenden Fassung sind,</w:t>
      </w:r>
    </w:p>
    <w:p>
      <w:r>
        <w:t xml:space="preserve">Bildungsveranstaltungen der außerschulischen Jugendbildung gemäß § 11 Absatz 3 Nummer 1 des Achten Buchs Sozialgesetzbuch ‒ Kinder- und Jugendhilfe ‒ in der Fassung der Bekanntmachung vom 11. September 2012 (BGBl. I S. 2022) in der jeweils geltenden Fassung sind.</w:t>
      </w:r>
    </w:p>
    <w:p>
      <w:r>
        <w:rPr>
          <w:color w:val="555555"/>
          <w:sz w:val="17"/>
        </w:rPr>
        <w:t xml:space="preserve">Zitiervorschlag: § 4 EBV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https://recht.nulegal.eu/gesetze/bb-vo-ebv--2026/4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EBV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