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AZV (Brandenburg) — Zuständigkeit</w:t>
      </w:r>
    </w:p>
    <w:p>
      <w:r>
        <w:rPr>
          <w:color w:val="555555"/>
          <w:sz w:val="18"/>
        </w:rPr>
        <w:t xml:space="preserve">Arbeitszeitverordnung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Entscheidungen und Maßnahmen nach dieser Verordnung trifft, wenn nichts anderes bestimmt ist, der Dienstvorgesetzte nach § 2 des Landesbeamtengesetzes.</w:t>
      </w:r>
    </w:p>
    <w:p>
      <w:r>
        <w:rPr>
          <w:color w:val="555555"/>
          <w:sz w:val="17"/>
        </w:rPr>
        <w:t xml:space="preserve">Zitiervorschlag: § 2 AZV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https://recht.nulegal.eu/gesetze/bb-vo-azv--2009/2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