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UAG (Brandenburg) — Untersuchungsauftrag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Antrag und im Einsetzungsbeschluss muss der Untersuchungsauftrag hinreichend bestimmt sein.</w:t>
      </w:r>
    </w:p>
    <w:p>
      <w:r>
        <w:t xml:space="preserve">(2) Der Untersuchungsausschuss ist an den ihm erteilten Auftrag gebunden und zu seiner Änderung nicht berechtigt.</w:t>
      </w:r>
    </w:p>
    <w:p>
      <w:r>
        <w:t xml:space="preserve">(3) Der Untersuchungsauftrag darf gegen den Willen der antragstellenden Mitglieder des Landtages nicht verändert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