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UAG (Brandenburg) — Beendigung</w:t>
      </w:r>
    </w:p>
    <w:p>
      <w:r>
        <w:rPr>
          <w:color w:val="555555"/>
          <w:sz w:val="18"/>
        </w:rPr>
        <w:t xml:space="preserve">Untersuchungsausschussgesetz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Arbeit des Untersuchungsausschusses endet</w:t>
      </w:r>
    </w:p>
    <w:p>
      <w:r>
        <w:t xml:space="preserve">mit der Kenntnisnahme des Schlussberichts durch den Landtag,</w:t>
      </w:r>
    </w:p>
    <w:p>
      <w:r>
        <w:t xml:space="preserve">durch die Auflösung des Ausschusses gemäß § 27 Absatz 2 oder</w:t>
      </w:r>
    </w:p>
    <w:p>
      <w:r>
        <w:t xml:space="preserve">mit dem Ende der Wahlperiode des Landtages.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26 UAG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https://recht.nulegal.eu/gesetze/bb-uag--2019/26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