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UAG (Brandenburg) — Verlesen von Protokollen und Schriftstücken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Protokolle über Untersuchungshandlungen von Gerichten, Verwaltungsbehörden und Untersuchungsausschüssen sowie Schriftstücke, die als Beweismittel dienen, sind vor dem Untersuchungsausschuss zu verlesen.</w:t>
      </w:r>
    </w:p>
    <w:p>
      <w:r>
        <w:t xml:space="preserve">(2) Von der Verlesung kann Abstand genommen werden, wenn die Protokolle oder Schriftstücke allen Mitgliedern zugänglich gemacht worden sind und der Ausschuss auf die Verlesung verzichtet.</w:t>
      </w:r>
    </w:p>
    <w:p>
      <w:r>
        <w:t xml:space="preserve">(3) Für die Verlesung gilt § 11 Absatz 2 und 5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