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UAG (Brandenburg) — Rechts- und Amtshilfe</w:t>
      </w:r>
    </w:p>
    <w:p>
      <w:r>
        <w:rPr>
          <w:color w:val="555555"/>
          <w:sz w:val="18"/>
        </w:rPr>
        <w:t xml:space="preserve">Untersuchungsausschussgesetz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Bei Ersuchen um Rechtshilfe zur Vernehmung von Zeuginnen und Zeugen oder Sachverständigen sind die Fragen im Einzelnen festzulegen. Dem Ersuchen ist eine schriftliche Fassung des Untersuchungsauftrages beizufügen.</w:t>
      </w:r>
    </w:p>
    <w:p>
      <w:r>
        <w:t xml:space="preserve">(2) Das Ersuchen um Rechtshilfe ist an das Amtsgericht zu richten, in dessen Bezirk die Untersuchungshandlung vorgenommen werden soll.</w:t>
      </w:r>
    </w:p>
    <w:p>
      <w:r>
        <w:t xml:space="preserve">(3) Über die Untersuchungshandlung hat die um Rechts- oder Amtshilfe ersuchte Stelle ein Protokoll aufzunehmen.</w:t>
      </w:r>
    </w:p>
    <w:p>
      <w:r>
        <w:t xml:space="preserve">(4) Die Rechts- und Amtshilfe durch die Gerichte und Behörden eines anderen Landes oder des Bundes richtet sich nach den allgemeinen Bestimmungen.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24 UAG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https://recht.nulegal.eu/gesetze/bb-uag--2019/24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