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rbb-Staatsvertrag (Brandenburg)</w:t>
      </w:r>
    </w:p>
    <w:p>
      <w:r>
        <w:rPr>
          <w:color w:val="555555"/>
          <w:sz w:val="18"/>
        </w:rPr>
        <w:t xml:space="preserve">Gesetz zum Staatsvertrag über den Rundfunk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in Kraft tritt, ist im Gesetz- und Verordnungsblatt für das Land Brandenburg Teil I bekannt zu geben.</w:t>
      </w:r>
    </w:p>
    <w:p>
      <w:r>
        <w:t xml:space="preserve">Potsdam, den 15. Dezember 2023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 - Staatsvertrag über den Rundfunk Berlin-Brandenburg (rbb-Staatsvertrag)</w:t>
      </w:r>
    </w:p>
    <w:p>
      <w:r>
        <w:rPr>
          <w:color w:val="555555"/>
          <w:sz w:val="17"/>
        </w:rPr>
        <w:t xml:space="preserve">Zitiervorschlag: § 3 rbb-Staatsvertrag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https://recht.nulegal.eu/gesetze/bb-rbbstv--2023/3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