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rbb-Staatsvertrag (Brandenburg)</w:t>
      </w:r>
    </w:p>
    <w:p>
      <w:r>
        <w:rPr>
          <w:color w:val="555555"/>
          <w:sz w:val="18"/>
        </w:rPr>
        <w:t xml:space="preserve">Gesetz zum Staatsvertrag über den Rundfunk Berlin-Brandenburg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Durch dieses Gesetz wird das Grundrecht auf informationelle Selbstbestimmung (Artikel 2 Absatz 1 in Verbindung mit Artikel 1 Absatz 1 des Grundgesetzes), das Grundrecht der Berufsfreiheit (Artikel 49 Absatz 1 Satz 1 der Verfassung des Landes Brandenburg) und das Grundrecht auf Datenschutz (Artikel 11 Absatz 1 der Verfassung des Landes Brandenburg) eingeschränkt.</w:t>
      </w:r>
    </w:p>
    <w:p>
      <w:r>
        <w:rPr>
          <w:color w:val="555555"/>
          <w:sz w:val="17"/>
        </w:rPr>
        <w:t xml:space="preserve">Zitiervorschlag: § 2 rbb-Staatsvertrag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https://recht.nulegal.eu/gesetze/bb-rbbstv--2023/2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