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Landwirtschaftsstaatsvertrag (Brandenburg)</w:t>
      </w:r>
    </w:p>
    <w:p>
      <w:r>
        <w:rPr>
          <w:color w:val="555555"/>
          <w:sz w:val="18"/>
        </w:rPr>
        <w:t xml:space="preserve">Gesetz zu dem Staatsvertrag der Länder Berlin und Brandenburg auf dem Gebiet der Landwirtschaft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01.09.2026 (konsolidierte Textfassung, kein amtliches Inkrafttretensdatum)</w:t>
      </w:r>
    </w:p>
    <w:p>
      <w:r>
        <w:t xml:space="preserve">(1) Dieses Gesetz tritt am Tag nach der Verkündung in Kraft.</w:t>
      </w:r>
    </w:p>
    <w:p>
      <w:r>
        <w:t xml:space="preserve">(2) Der Staatsvertrag tritt nach seinem Artikel 19 am 16. Oktober 2020 in Kraft.</w:t>
      </w:r>
    </w:p>
    <w:p>
      <w:r>
        <w:t xml:space="preserve">Einzelnorm</w:t>
      </w:r>
    </w:p>
    <w:p>
      <w:r>
        <w:t xml:space="preserve">Potsdam, den 14. September 2020</w:t>
      </w:r>
    </w:p>
    <w:p>
      <w:r>
        <w:t xml:space="preserve">Die Präsidentin</w:t>
      </w:r>
    </w:p>
    <w:p>
      <w:r>
        <w:t xml:space="preserve">des Landtages Brandenburg</w:t>
      </w:r>
    </w:p>
    <w:p>
      <w:r>
        <w:t xml:space="preserve">Dr. Ulrike Liedtke</w:t>
      </w:r>
    </w:p>
    <w:p>
      <w:r>
        <w:t xml:space="preserve">zum Staatsvertrag</w:t>
      </w:r>
    </w:p>
    <w:p>
      <w:r>
        <w:rPr>
          <w:color w:val="555555"/>
          <w:sz w:val="17"/>
        </w:rPr>
        <w:t xml:space="preserve">Zitiervorschlag: § 2 Landwirtschaftsstaatsvertrag (Brandenburg)</w:t>
      </w:r>
    </w:p>
    <w:p>
      <w:r>
        <w:rPr>
          <w:color w:val="555555"/>
          <w:sz w:val="17"/>
        </w:rPr>
        <w:t xml:space="preserve">Quelle: bravors, abgerufen 01.09.2026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https://recht.nulegal.eu/gesetze/bb-lw_stv--2020/2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