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LBG (Brandenburg) — Übermittlung der Personalakte, Auskunft an Dritte</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Ohne Einwilligung des Beamten ist es zulässig, die Personalakte für Zwecke der Personalverwaltung oder Personalwirtschaft der obersten Dienstbehörde oder einer im Rahmen der Dienstaufsicht weisungsbefugten Behörde zu übermitteln. Das Gleiche gilt für den Landespersonalausschuss, soweit dies zur Durchführung seiner Aufgaben erforderlich ist, für Behörden desselben Geschäftsbereichs, soweit die Übermittlung zur Vorbereitung oder Durchführung einer Personalentscheidung notwendig ist, sowie für Behörden eines anderen Geschäftsbereichs desselben Dienstherrn, soweit diese an einer Personalentscheidung mitzuwirken haben. Ärzten, die im Auftrag der personalverwaltenden Behörde ein medizinisches Gutachten erstellen, darf die Personalakte ebenfalls ohne Einwilligung übermittelt werden. Für Auskünfte aus der Personalakte gelten die Sätze 1 bis 3 entsprechend. Soweit eine Auskunft ausreicht, ist von einer Übermittlung abzusehen.</w:t>
      </w:r>
    </w:p>
    <w:p>
      <w:r>
        <w:t xml:space="preserve">(2) Auskünfte an sonstige Dritte dürfen nur mit Einwilligung des Beamten erteilt werden, es sei denn, dass die Abwehr einer erheblichen Beeinträchtigung des Gemeinwohls oder der Schutz berechtigter, höherrangiger Interessen des Dritten die Auskunftserteilung zwingend erfordert. Inhalt und Empfänger der Auskunft sind dem Beamten schriftlich oder elektronisch mitzuteilen.</w:t>
      </w:r>
    </w:p>
    <w:p>
      <w:r>
        <w:t xml:space="preserve">(2a) Ohne Einwilligung des Beamten ist es zur Erfüllung von Mitteilungs- und Auskunftspflichten im Rahmen der europäischen Verwaltungszusammenarbeit nach den §§ 8a bis 8e des Verwaltungsverfahrensgesetzes in Verbindung mit § 1 Absatz 1 Satz 1 des Verwaltungsverfahrensgesetzes für das Land Brandenburg zulässig, auch Personalaktendaten im Wege der Auskunft zu übermitteln.</w:t>
      </w:r>
    </w:p>
    <w:p>
      <w:r>
        <w:t xml:space="preserve">(3) Übermittlung und Auskunft sind auf den jeweils erforderlichen Umfang zu beschränken.</w:t>
      </w:r>
    </w:p>
    <w:p>
      <w:r>
        <w:rPr>
          <w:color w:val="555555"/>
          <w:sz w:val="17"/>
        </w:rPr>
        <w:t xml:space="preserve">Zitiervorschlag: § 98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https://recht.nulegal.eu/gesetze/bb-lbg--2009/98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