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94 LBG (Brandenburg) — Verarbeitung personenbezogener Daten, Inhalt der Personalakte, Zugang zur Personalakte</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Dienstherr darf personenbezogene Daten über Bewerber, Beamte und ehemalige Beamte verarbeiten, soweit dies für Zwecke der Personalverwaltung oder Personalwirtschaft, insbesondere zur Begründung, Durchführung, Beendigung oder Abwicklung des Dienstverhältnisses oder zur Durchführung organisatorischer, personeller oder sozialer Maßnahmen einschließlich der Personalplanung und des Personaleinsatzes, erforderlich ist oder eine Rechtsvorschrift dies erlaubt. Ungeachtet des Vorrangs der Verordnung (EU) 2016/679 des Europäischen Parlaments und des Rates von 27. April 2016 zum Schutz natürlicher Personen bei der Verarbeitung personenbezogener Daten, zum freien Datenverkehr und zur Aufhebung der Richtlinie 95/46/EG (Datenschutz-Grundverordnung) (ABl. EU L 119 vom 4.5.2016, S. 1; L 314 vom 22.11.2016, S. 72) finden die Vorschriften des Brandenburgischen Datenschutzgesetzes ergänzend Anwendung.</w:t>
      </w:r>
    </w:p>
    <w:p>
      <w:r>
        <w:t xml:space="preserve">(2) Andere Unterlagen als Personalaktendaten dürfen in die Personalakte nicht aufgenommen werden. Nicht Bestandteil der Personalakte sind Unterlagen, die besonderen, von der Person oder dem Dienstverhältnis sachlich zu trennenden Zwecken dienen, insbesondere Prüfungs-, Sicherheits- und Kindergeldakten. Kindergeldakten können mit Besoldungs- und Versorgungsakten verbunden geführt werden, wenn diese von der übrigen Personalakte getrennt sind und von einer von der Personalverwaltung getrennten Organisationseinheit bearbeitet werden; im Übrigen gelten § 35 des Ersten Buches Sozialgesetzbuch und die §§ 67 bis 78 des Zehnten Buches Sozialgesetzbuch.</w:t>
      </w:r>
    </w:p>
    <w:p>
      <w:r>
        <w:t xml:space="preserve">(3) Die Personalakte kann vollständig oder in Teilen automatisiert geführt werden.</w:t>
      </w:r>
    </w:p>
    <w:p>
      <w:r>
        <w:t xml:space="preserve">(4) Die Personalakte kann nach sachlichen Gesichtspunkten in Grundakte und Teilakten gegliedert werden. Teilakten können bei der für den betreffenden Arbeitsbereich zuständigen Behörde geführt werden. Nebenakten (Unterlagen, die sich auch in der Grundakte oder in Teilakten befinden) dürfen nur geführt werden, wenn die personalverwaltende Behörde nicht zugleich Beschäftigungsbehörde ist oder wenn mehrere personalverwaltende Behörden für den Beamten zuständig sind; sie dürfen nur solche Unterlagen enthalten, deren Kenntnis zur rechtmäßigen Aufgabenerledigung der betreffenden Behörde erforderlich ist. In die Grundakte ist ein vollständiges Verzeichnis aller Teil- und Nebenakten aufzunehmen. Wird die Personalakte nicht vollständig automatisiert oder in Schriftform geführt, legt die personalverwaltende Stelle jeweils schriftlich oder elektronisch fest, welche Teile in welcher Form geführt werden und nimmt dies in das Verzeichnis nach Satz 4 auf.</w:t>
      </w:r>
    </w:p>
    <w:p>
      <w:r>
        <w:t xml:space="preserve">(5) Zugang zur Personalakte dürfen nur Beschäftigte haben, die im Rahmen der Personalverwaltung mit der Bearbeitung von Personalangelegenheiten beauftragt sind, und nur soweit dies zu Zwecken der Personalverwaltung oder der Personalwirtschaft erforderlich ist; dies gilt auch für den Zugang im automatisierten Abrufverfahren. Zugang haben ferner die mit Angelegenheiten der Innenrevision beauftragten Beschäftigten, soweit dies erforderlich ist. Jede Einsichtnahme nach Satz 2 ist aktenkundig zu machen.</w:t>
      </w:r>
    </w:p>
    <w:p>
      <w:r>
        <w:t xml:space="preserve">(6) Die Möglichkeit der Verarbeitung von Personalaktendaten im Auftrag gemäß den Artikeln 28 und 29 der Verordnung (EU) 2016/679 bleibt unberührt.</w:t>
      </w:r>
    </w:p>
    <w:p>
      <w:r>
        <w:rPr>
          <w:color w:val="555555"/>
          <w:sz w:val="17"/>
        </w:rPr>
        <w:t xml:space="preserve">Zitiervorschlag: § 94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https://recht.nulegal.eu/gesetze/bb-lbg--2009/94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