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LBG (Brandenburg) — Wiederverwendung nach Beendigung des Mandats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Fällen des § 72 ruhen die Rechte und Pflichten aus dem Dienstverhältnis, bis der Beamte nach Beendigung seines Mandats wiederverwendet wird, längstens jedoch bis zur Beendigung des Beamtenverhältnisses.</w:t>
      </w:r>
    </w:p>
    <w:p>
      <w:r>
        <w:t xml:space="preserve">(2) Wenn der Beamte seine Wiederverwendung innerhalb eines Monats nach Beendigung des Mandats beantragt, ist er spätestens drei Monate nach Antragstellung in seinem früheren Amt wieder zu verwenden. Dem Beamten kann jedoch ein anderes Amt derselben oder einer anderen Laufbahn mit mindestens demselben Endgrundgehalt übertragen werden. § 30 Abs. 2 Satz 3 gilt entsprechend.</w:t>
      </w:r>
    </w:p>
    <w:p>
      <w:r>
        <w:t xml:space="preserve">(3) Nach Ablauf der Antragsfrist nach Absatz 2 Satz 1 bis zum Ablauf von zwei Jahren nach Beendigung des Mandats kann eine Wiederverwendung nach Maßgabe des Absatzes 2 auch gegen den Willen des Beamten angeordnet werden. Wird die Anordnung unanfechtbar und folgt der Beamte ihr nicht, so ist er entlassen. Die Sätze 1 und 2 gelten nicht, wenn der Beamte bei Beendigung des Mandats noch eine Dienstzeit von höchstens zehn Jahren bis zum Erreichen der für ihn geltenden Altersgrenze abzuleisten hätte.</w:t>
      </w:r>
    </w:p>
    <w:p>
      <w:r>
        <w:rPr>
          <w:color w:val="555555"/>
          <w:sz w:val="17"/>
        </w:rPr>
        <w:t xml:space="preserve">Zitiervorschlag: § 73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